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374</w:t>
      </w:r>
    </w:p>
    <w:p>
      <w:r>
        <w:t>Bundesgericht (BGE), 2009-03-12, DE</w:t>
      </w:r>
    </w:p>
    <w:p>
      <w:r>
        <w:rPr>
          <w:b/>
        </w:rPr>
        <w:t xml:space="preserve">Quelle: </w:t>
      </w:r>
      <w:r>
        <w:t>https://mcp.opencaselaw.ch/entscheid/bge_135 III 374</w:t>
      </w:r>
    </w:p>
    <w:p>
      <w:r>
        <w:t>FR: ATF 135 III 374</w:t>
      </w:r>
    </w:p>
    <w:p>
      <w:r>
        <w:t>IT: DTF 135 III 374</w:t>
      </w:r>
    </w:p>
    <w:p>
      <w:pPr>
        <w:pStyle w:val="Heading2"/>
      </w:pPr>
      <w:r>
        <w:t>Regeste</w:t>
      </w:r>
    </w:p>
    <w:p>
      <w:r>
        <w:t>Regeste Angabe einer unzutreffenden Beschwerdefrist in der Rechtsmittelbelehrung (Art. 49 BGG). Die rechtsunkundige Prozesspartei, die schon im kantonalen Verfahren nicht rechtskundig vertreten war und über keine einschlägige Erfahrung etwa aus früheren Verfahren verfügt, darf sich auf die im kantonalen Entscheid enthaltene unzutreffende Fristangabe (ordentliche Frist von 30 Tagen für die Beschwerde in Zivilsachen gemäss Art. 100 Abs. 1 BGG statt der nach Art. 100 Abs. 2 lit. a BGG bei Entscheiden der kantonalen Aufsichtsbehörden in Schuldbetreibungs- und Konkurssachen geltenden Frist von 10 Tagen) verlassen (E. 1.2.2).</w:t>
      </w:r>
    </w:p>
    <w:p>
      <w:pPr>
        <w:pStyle w:val="Heading2"/>
      </w:pPr>
      <w:r>
        <w:t>Erwägungen</w:t>
      </w:r>
    </w:p>
    <w:p>
      <w:r>
        <w:rPr>
          <w:b/>
        </w:rPr>
        <w:t>E. 1.2.1</w:t>
      </w:r>
    </w:p>
    <w:p>
      <w:r>
        <w:t>(Feststellung, dass die bei Entscheiden der kantonalen Aufsichtsbehörden in Schuldbetreibungs- und Konkurssachen geltende Beschwerdefrist von zehn Tagen [ Art. 100 Abs. 2 lit. a BGG ] nicht eingehalten ist.)</w:t>
      </w:r>
    </w:p>
    <w:p>
      <w:r>
        <w:rPr>
          <w:b/>
        </w:rPr>
        <w:t>E. 1.2.2</w:t>
      </w:r>
    </w:p>
    <w:p>
      <w:r>
        <w:t>In der Rechtsmittelbelehrung des angefochtenen Entscheids wird auf die für Beschwerden an das Bundesgericht im Allgemeinen geltende Beschwerdefrist von 30 Tagen ( Art. 100 Abs. 1 BGG ) hingewiesen.</w:t>
      </w:r>
    </w:p>
    <w:p>
      <w:r>
        <w:rPr>
          <w:b/>
        </w:rPr>
        <w:t>E. 1.2.2.1</w:t>
      </w:r>
    </w:p>
    <w:p>
      <w:r>
        <w:t>Gemäss Art. 49 BGG dürfen den Parteien aus unrichtiger Rechtsmittelbelehrung keine Nachteile erwachsen. Hiermit wurde der für die (frühere) Verwaltungsgerichtsbeschwerde in Art. 107 Abs. 3 OG verankerte Grundsatz übernommen (Botschaft vom 28. Februar 2001 zur Totalrevision der Bundesrechtspflege, BBl 2001 4299 Ziff. 4.1.2.5), dem in der Praxis bereits früher allgemeine Tragweite zukam ( BGE 117 Ia 297 E. 2 S. 298 f., BGE 117 Ia 421 E. 2c S. 423 f.; je mit Hinweisen). Den erwähnten Schutz kann eine Prozesspartei nur dann beanspruchen, wenn sie sich nach Treu und Glauben auf die fehlerhafte Rechtsmittelbelehrung verlassen durfte. Wer die Unrichtigkeit erkannte oder bei gebührender Aufmerksamkeit hätte erkennen können, kann sich nicht auf Art. 49 BGG berufen, wobei allerdings nur eine grobe prozessuale Unsorgfalt der betroffenen Partei oder ihres Anwalts eine unrichtige Rechtsmittelbelehrung aufzuwiegen vermag. Der Vertrauensschutz versagt zudem nur dann, wenn der Mangel in der Rechtsmittelbelehrung für den Rechtsuchenden bzw. seinen Rechtsvertreter allein schon durch Konsultierung der massgebenden Verfahrensbestimmung ersichtlich gewesen wäre (zum Ganzen BGE 134 I 199 E. 1.3.1 S. 202 f.; BGE 129 II 125 E. 3.3 S. 134 f.; BGE 124 I 255 E. 1a/aa S. 258; BGE 117 Ia 421 E. 2a S. 422; je mit weiteren Hinweisen). Zu bedenken ist schliesslich, dass mit der in Art. 112 Abs. 1 lit. d BGG neu verankerten Pflicht der kantonalen Instanzen, ihre Entscheide mit einer Rechtsmittelbelehrung zu versehen, den Beteiligten, namentlich den nicht rechtskundig vertretenen Prozessparteien, die Aufgabe erleichtert werden sollte.</w:t>
      </w:r>
    </w:p>
    <w:p>
      <w:r>
        <w:rPr>
          <w:b/>
        </w:rPr>
        <w:t>E. 1.2.2.2</w:t>
      </w:r>
    </w:p>
    <w:p>
      <w:r>
        <w:t>Wann der Prozesspartei, die sich auf eine unrichtige Rechtsmittelbelehrung verlassen hat, eine als grob zu wertende Unsorgfalt BGE 135 III 374 S. 377 vorzuwerfen ist, beurteilt sich nach den konkreten Umständen und nach ihren Rechtskenntnissen (vgl. BGE 106 Ia 13 E. 4 S. 19). Ist sie rechtsunkundig und auch nicht rechtskundig vertreten, darf sie nicht der anwaltlich vertretenen Partei gleichgestellt werden (dazu BERNHARD EHRENZELLER, in: Basler Kommentar, Bundesgerichtsgesetz, 2008, N. 18 zu Art. 112 BGG ),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Die Beschwerdeführerin ist nicht anwaltlich vertreten und war es auch im kantonalen Verfahren nicht. Anhaltspunkte dafür, dass die für sie handelnde Person über hinreichende Rechtskenntnisse verfügte oder (namentlich aufgrund früherer Verfahren) die Länge der Frist für Beschwerden gegen Entscheide der kantonalen Aufsichtsbehörden in Schuldbetreibungs- und Konkurssachen gekannt hätte oder zumindest hätte kennen müssen, sind nicht ersichtlich. Wenn die erwähnte Person unter den gegebenen Umständen den - auf die ordentliche Frist für Beschwerden in Zivilsachen ( Art. 100 Abs. 1 BGG ) hinweisenden - Angaben des Einzelrichters vertraut und diese nicht überprüft hat, liegt darin keine Unsorgfalt, die es nicht zuliesse, das Vertrauen auf die unzutreffende Rechtsmittelbelehrung zu schützen (dazu FRANÇOIS BOHNET, Schweizerische Zeitschrift für Zivilprozessrecht [SZZP] 2008 S. 22). Im Übrigen ist zu bemerken, dass die Vorinstanz den die Beschwerdefrist regelnden Art. 100 BGG nicht ausdrücklich genannt hat und dass zudem diese Bestimmung nicht für jeden juristischen Laien ohne weiteres verständlich ist.</w:t>
      </w:r>
    </w:p>
    <w:p>
      <w:r>
        <w:rPr>
          <w:b/>
        </w:rPr>
        <w:t>E. 1.2.2.3</w:t>
      </w:r>
    </w:p>
    <w:p>
      <w:r>
        <w:t>Bei einer hier durch die Zustellung des angefochtenen Entscheids am 6. November 2008 ausgelösten Frist von 30 Tagen war die Beschwerde spätestens am 8. Dezember 2008 aufzugeben, zumal der dreissigste Tag, der 6. Dezember 2008, auf einen Samstag fiel. Die am 3. Dezember 2008 der Post übergebene Beschwerde ist nach dem Gesagten als rechtzeitig eingereicht zu betrachten, so dass auf sie aus dieser Sicht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